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185B" w14:textId="77777777" w:rsidR="009E4895" w:rsidRDefault="009E4895">
      <w:pPr>
        <w:rPr>
          <w:rFonts w:ascii="Open Sans" w:eastAsia="Open Sans" w:hAnsi="Open Sans" w:cs="Open Sans"/>
        </w:rPr>
      </w:pPr>
    </w:p>
    <w:p w14:paraId="1613282A" w14:textId="77777777" w:rsidR="009E4895" w:rsidRDefault="009E4895">
      <w:pPr>
        <w:rPr>
          <w:rFonts w:ascii="Open Sans" w:eastAsia="Open Sans" w:hAnsi="Open Sans" w:cs="Open Sans"/>
        </w:rPr>
      </w:pPr>
    </w:p>
    <w:p w14:paraId="77F88335" w14:textId="77777777" w:rsidR="009E4895" w:rsidRDefault="00000000">
      <w:pPr>
        <w:jc w:val="center"/>
        <w:rPr>
          <w:rFonts w:ascii="Open Sans" w:eastAsia="Open Sans" w:hAnsi="Open Sans" w:cs="Open Sans"/>
        </w:rPr>
      </w:pPr>
      <w:r>
        <w:rPr>
          <w:rFonts w:ascii="Open Sans" w:eastAsia="Open Sans" w:hAnsi="Open Sans" w:cs="Open Sans"/>
          <w:noProof/>
        </w:rPr>
        <w:drawing>
          <wp:inline distT="0" distB="0" distL="0" distR="0" wp14:anchorId="113E8282" wp14:editId="10EA435E">
            <wp:extent cx="4762496" cy="1647821"/>
            <wp:effectExtent l="0" t="0" r="635" b="0"/>
            <wp:docPr id="3" name="image2.jpg"/>
            <wp:cNvGraphicFramePr/>
            <a:graphic xmlns:a="http://schemas.openxmlformats.org/drawingml/2006/main">
              <a:graphicData uri="http://schemas.openxmlformats.org/drawingml/2006/picture">
                <pic:pic xmlns:pic="http://schemas.openxmlformats.org/drawingml/2006/picture">
                  <pic:nvPicPr>
                    <pic:cNvPr id="3" name="image2.jpg"/>
                    <pic:cNvPicPr preferRelativeResize="0"/>
                  </pic:nvPicPr>
                  <pic:blipFill>
                    <a:blip r:embed="rId8">
                      <a:extLst>
                        <a:ext uri="{96DAC541-7B7A-43D3-8B79-37D633B846F1}">
                          <asvg:svgBlip xmlns:asvg="http://schemas.microsoft.com/office/drawing/2016/SVG/main" r:embed="rId9"/>
                        </a:ext>
                      </a:extLst>
                    </a:blip>
                    <a:srcRect t="32700" b="32700"/>
                    <a:stretch>
                      <a:fillRect/>
                    </a:stretch>
                  </pic:blipFill>
                  <pic:spPr>
                    <a:xfrm>
                      <a:off x="0" y="0"/>
                      <a:ext cx="4762496" cy="1647821"/>
                    </a:xfrm>
                    <a:prstGeom prst="rect">
                      <a:avLst/>
                    </a:prstGeom>
                  </pic:spPr>
                </pic:pic>
              </a:graphicData>
            </a:graphic>
          </wp:inline>
        </w:drawing>
      </w:r>
    </w:p>
    <w:p w14:paraId="13CE920D" w14:textId="77777777" w:rsidR="009E4895" w:rsidRDefault="009E4895">
      <w:pPr>
        <w:jc w:val="center"/>
        <w:rPr>
          <w:rFonts w:ascii="Open Sans" w:eastAsia="Open Sans" w:hAnsi="Open Sans" w:cs="Open Sans"/>
        </w:rPr>
      </w:pPr>
    </w:p>
    <w:p w14:paraId="298B043A" w14:textId="77777777" w:rsidR="00FB29CA" w:rsidRDefault="00FB29CA" w:rsidP="00FB29CA">
      <w:pPr>
        <w:jc w:val="both"/>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1CAED1E2" w14:textId="77777777" w:rsidR="009E4895" w:rsidRPr="00FB29CA" w:rsidRDefault="009E4895">
      <w:pPr>
        <w:jc w:val="center"/>
        <w:rPr>
          <w:rFonts w:ascii="Open Sans" w:eastAsia="Open Sans" w:hAnsi="Open Sans" w:cs="Open Sans"/>
          <w:sz w:val="54"/>
          <w:szCs w:val="54"/>
        </w:rPr>
      </w:pPr>
    </w:p>
    <w:p w14:paraId="79B68864" w14:textId="77777777" w:rsidR="009E4895" w:rsidRPr="00FB29CA" w:rsidRDefault="00000000">
      <w:pPr>
        <w:pBdr>
          <w:top w:val="nil"/>
          <w:left w:val="nil"/>
          <w:bottom w:val="nil"/>
          <w:right w:val="nil"/>
          <w:between w:val="nil"/>
        </w:pBdr>
        <w:jc w:val="center"/>
        <w:rPr>
          <w:rFonts w:ascii="Open Sans" w:eastAsia="Open Sans" w:hAnsi="Open Sans" w:cs="Open Sans"/>
          <w:b/>
          <w:bCs/>
          <w:color w:val="800250"/>
          <w:sz w:val="54"/>
          <w:szCs w:val="54"/>
        </w:rPr>
      </w:pPr>
      <w:r w:rsidRPr="00FB29CA">
        <w:rPr>
          <w:rFonts w:ascii="Open Sans" w:eastAsia="Open Sans" w:hAnsi="Open Sans" w:cs="Open Sans"/>
          <w:b/>
          <w:bCs/>
          <w:color w:val="800250"/>
          <w:sz w:val="54"/>
          <w:szCs w:val="54"/>
        </w:rPr>
        <w:t>OPEN CALL – SME Declaration</w:t>
      </w:r>
    </w:p>
    <w:p w14:paraId="6A9B547E" w14:textId="77777777" w:rsidR="009E4895" w:rsidRDefault="009E4895">
      <w:pPr>
        <w:jc w:val="center"/>
        <w:rPr>
          <w:rFonts w:ascii="Open Sans" w:eastAsia="Open Sans" w:hAnsi="Open Sans" w:cs="Open Sans"/>
          <w:sz w:val="28"/>
          <w:szCs w:val="28"/>
        </w:rPr>
      </w:pPr>
    </w:p>
    <w:p w14:paraId="6F475224" w14:textId="77777777" w:rsidR="009E4895" w:rsidRDefault="009E4895">
      <w:pPr>
        <w:rPr>
          <w:rFonts w:ascii="Open Sans" w:eastAsia="Open Sans" w:hAnsi="Open Sans" w:cs="Open Sans"/>
          <w:sz w:val="24"/>
          <w:szCs w:val="24"/>
        </w:rPr>
      </w:pPr>
    </w:p>
    <w:p w14:paraId="1E272325" w14:textId="77777777" w:rsidR="009E4895" w:rsidRDefault="009E4895">
      <w:pPr>
        <w:rPr>
          <w:rFonts w:ascii="Open Sans" w:eastAsia="Open Sans" w:hAnsi="Open Sans" w:cs="Open Sans"/>
          <w:b/>
          <w:bCs/>
          <w:sz w:val="32"/>
          <w:szCs w:val="32"/>
        </w:rPr>
      </w:pPr>
    </w:p>
    <w:p w14:paraId="5E7C03DA" w14:textId="77777777" w:rsidR="009E4895" w:rsidRDefault="009E4895">
      <w:pPr>
        <w:rPr>
          <w:rFonts w:ascii="Open Sans" w:eastAsia="Open Sans" w:hAnsi="Open Sans" w:cs="Open Sans"/>
          <w:b/>
          <w:bCs/>
          <w:sz w:val="32"/>
          <w:szCs w:val="32"/>
        </w:rPr>
      </w:pPr>
    </w:p>
    <w:p w14:paraId="56ACB1FD" w14:textId="77777777" w:rsidR="009E4895" w:rsidRDefault="009E4895">
      <w:pPr>
        <w:rPr>
          <w:rFonts w:ascii="Open Sans" w:eastAsia="Open Sans" w:hAnsi="Open Sans" w:cs="Open Sans"/>
          <w:b/>
          <w:bCs/>
          <w:sz w:val="32"/>
          <w:szCs w:val="32"/>
        </w:rPr>
      </w:pPr>
    </w:p>
    <w:p w14:paraId="3A35110D" w14:textId="4D363BF9" w:rsidR="009E4895" w:rsidRDefault="009E4895">
      <w:pPr>
        <w:rPr>
          <w:rFonts w:ascii="Open Sans" w:eastAsia="Open Sans" w:hAnsi="Open Sans" w:cs="Open Sans"/>
        </w:rPr>
      </w:pPr>
    </w:p>
    <w:p w14:paraId="20DBE6E8" w14:textId="34A79FBE" w:rsidR="009E4895" w:rsidRDefault="00883AF0">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6C1C2327" wp14:editId="527D8B86">
            <wp:simplePos x="0" y="0"/>
            <wp:positionH relativeFrom="column">
              <wp:posOffset>1905</wp:posOffset>
            </wp:positionH>
            <wp:positionV relativeFrom="paragraph">
              <wp:posOffset>60325</wp:posOffset>
            </wp:positionV>
            <wp:extent cx="2265045" cy="497205"/>
            <wp:effectExtent l="0" t="0" r="1905"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0"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sidR="00000000">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sidR="00000000">
        <w:rPr>
          <w:rFonts w:ascii="Open Sans" w:eastAsia="Open Sans" w:hAnsi="Open Sans" w:cs="Open Sans"/>
          <w:b/>
          <w:bCs/>
          <w:sz w:val="16"/>
          <w:szCs w:val="16"/>
        </w:rPr>
        <w:t xml:space="preserve"> </w:t>
      </w:r>
    </w:p>
    <w:p w14:paraId="2F361B30" w14:textId="77777777" w:rsidR="009E4895" w:rsidRDefault="009E4895">
      <w:pPr>
        <w:rPr>
          <w:rFonts w:ascii="Open Sans" w:eastAsia="Open Sans" w:hAnsi="Open Sans" w:cs="Open Sans"/>
          <w:b/>
          <w:bCs/>
          <w:sz w:val="32"/>
          <w:szCs w:val="32"/>
        </w:rPr>
      </w:pPr>
    </w:p>
    <w:p w14:paraId="49BDD029" w14:textId="77777777" w:rsidR="009E4895" w:rsidRDefault="009E4895">
      <w:pPr>
        <w:jc w:val="both"/>
        <w:rPr>
          <w:rFonts w:ascii="Open Sans" w:eastAsia="Open Sans" w:hAnsi="Open Sans" w:cs="Open Sans"/>
        </w:rPr>
      </w:pPr>
    </w:p>
    <w:p w14:paraId="7067EAC5" w14:textId="77777777" w:rsidR="00FB29CA" w:rsidRDefault="00FB29CA">
      <w:pPr>
        <w:rPr>
          <w:rFonts w:ascii="Open Sans" w:eastAsia="Open Sans" w:hAnsi="Open Sans" w:cs="Open Sans"/>
          <w:color w:val="2F5496"/>
          <w:sz w:val="32"/>
          <w:szCs w:val="32"/>
        </w:rPr>
      </w:pPr>
      <w:r>
        <w:rPr>
          <w:rFonts w:ascii="Open Sans" w:eastAsia="Open Sans" w:hAnsi="Open Sans" w:cs="Open Sans"/>
        </w:rPr>
        <w:br w:type="page"/>
      </w:r>
    </w:p>
    <w:p w14:paraId="11E798ED" w14:textId="09AA96CD" w:rsidR="009E4895" w:rsidRPr="00FB29CA" w:rsidRDefault="00000000">
      <w:pPr>
        <w:pStyle w:val="Heading1"/>
        <w:numPr>
          <w:ilvl w:val="0"/>
          <w:numId w:val="1"/>
        </w:numPr>
        <w:rPr>
          <w:rFonts w:ascii="Open Sans" w:eastAsia="Open Sans" w:hAnsi="Open Sans" w:cs="Open Sans"/>
          <w:b/>
          <w:bCs/>
          <w:color w:val="4CA626"/>
        </w:rPr>
      </w:pPr>
      <w:r w:rsidRPr="00FB29CA">
        <w:rPr>
          <w:rFonts w:ascii="Open Sans" w:eastAsia="Open Sans" w:hAnsi="Open Sans" w:cs="Open Sans"/>
          <w:b/>
          <w:bCs/>
          <w:color w:val="4CA626"/>
        </w:rPr>
        <w:lastRenderedPageBreak/>
        <w:t xml:space="preserve">Purpose </w:t>
      </w:r>
    </w:p>
    <w:p w14:paraId="7CE28261" w14:textId="77777777" w:rsidR="009E4895" w:rsidRDefault="00000000">
      <w:pPr>
        <w:rPr>
          <w:rFonts w:ascii="Open Sans" w:eastAsia="Open Sans" w:hAnsi="Open Sans" w:cs="Open Sans"/>
        </w:rPr>
      </w:pPr>
      <w:r>
        <w:rPr>
          <w:rFonts w:ascii="Open Sans" w:eastAsia="Open Sans" w:hAnsi="Open Sans" w:cs="Open Sans"/>
        </w:rPr>
        <w:t xml:space="preserve">This SME Declaration must be completed and signed by each applicant receiving funding under the LIGAWINE Open Call. Its purpose is to confirm that the applicant qualifies as an SME in accordance with Commission Recommendation 2003/361/EC and meets the relevant eligibility requirements of </w:t>
      </w:r>
      <w:proofErr w:type="gramStart"/>
      <w:r>
        <w:rPr>
          <w:rFonts w:ascii="Open Sans" w:eastAsia="Open Sans" w:hAnsi="Open Sans" w:cs="Open Sans"/>
        </w:rPr>
        <w:t>the LIGAWINE</w:t>
      </w:r>
      <w:proofErr w:type="gramEnd"/>
      <w:r>
        <w:rPr>
          <w:rFonts w:ascii="Open Sans" w:eastAsia="Open Sans" w:hAnsi="Open Sans" w:cs="Open Sans"/>
        </w:rPr>
        <w:t xml:space="preserve"> Open Call.</w:t>
      </w:r>
    </w:p>
    <w:p w14:paraId="18B0AB9E" w14:textId="77777777" w:rsidR="009E4895" w:rsidRDefault="00000000">
      <w:pPr>
        <w:numPr>
          <w:ilvl w:val="0"/>
          <w:numId w:val="4"/>
        </w:numPr>
        <w:pBdr>
          <w:top w:val="nil"/>
          <w:left w:val="nil"/>
          <w:bottom w:val="nil"/>
          <w:right w:val="nil"/>
          <w:between w:val="nil"/>
        </w:pBdr>
        <w:spacing w:after="0"/>
        <w:rPr>
          <w:color w:val="000000"/>
        </w:rPr>
      </w:pPr>
      <w:r>
        <w:rPr>
          <w:rFonts w:ascii="Open Sans" w:eastAsia="Open Sans" w:hAnsi="Open Sans" w:cs="Open Sans"/>
          <w:b/>
          <w:bCs/>
          <w:color w:val="000000"/>
        </w:rPr>
        <w:t>For Strand 1: Mini-Consortia,</w:t>
      </w:r>
      <w:r>
        <w:rPr>
          <w:rFonts w:ascii="Open Sans" w:eastAsia="Open Sans" w:hAnsi="Open Sans" w:cs="Open Sans"/>
          <w:color w:val="000000"/>
        </w:rPr>
        <w:t xml:space="preserve"> each Consortium member must complete and sign a separate SME Declaration.</w:t>
      </w:r>
    </w:p>
    <w:p w14:paraId="4CB480EC" w14:textId="77777777" w:rsidR="009E4895" w:rsidRDefault="00000000">
      <w:pPr>
        <w:numPr>
          <w:ilvl w:val="0"/>
          <w:numId w:val="4"/>
        </w:numPr>
        <w:pBdr>
          <w:top w:val="nil"/>
          <w:left w:val="nil"/>
          <w:bottom w:val="nil"/>
          <w:right w:val="nil"/>
          <w:between w:val="nil"/>
        </w:pBdr>
        <w:rPr>
          <w:color w:val="000000"/>
        </w:rPr>
      </w:pPr>
      <w:r>
        <w:rPr>
          <w:rFonts w:ascii="Open Sans" w:eastAsia="Open Sans" w:hAnsi="Open Sans" w:cs="Open Sans"/>
          <w:b/>
          <w:bCs/>
          <w:color w:val="000000"/>
        </w:rPr>
        <w:t>For Strand 2: Open Challenges,</w:t>
      </w:r>
      <w:r>
        <w:rPr>
          <w:rFonts w:ascii="Open Sans" w:eastAsia="Open Sans" w:hAnsi="Open Sans" w:cs="Open Sans"/>
          <w:color w:val="000000"/>
        </w:rPr>
        <w:t xml:space="preserve"> the single applicant must complete and sign this SME Declaration.</w:t>
      </w:r>
    </w:p>
    <w:p w14:paraId="43C2C43D" w14:textId="77777777" w:rsidR="009E4895" w:rsidRPr="00FB29CA" w:rsidRDefault="00000000">
      <w:pPr>
        <w:pStyle w:val="Heading1"/>
        <w:numPr>
          <w:ilvl w:val="0"/>
          <w:numId w:val="1"/>
        </w:numPr>
        <w:rPr>
          <w:rFonts w:ascii="Open Sans" w:eastAsia="Open Sans" w:hAnsi="Open Sans" w:cs="Open Sans"/>
          <w:b/>
          <w:bCs/>
          <w:color w:val="4CA626"/>
        </w:rPr>
      </w:pPr>
      <w:r w:rsidRPr="00FB29CA">
        <w:rPr>
          <w:rFonts w:ascii="Open Sans" w:eastAsia="Open Sans" w:hAnsi="Open Sans" w:cs="Open Sans"/>
          <w:b/>
          <w:bCs/>
          <w:color w:val="4CA626"/>
        </w:rPr>
        <w:t>Glossary</w:t>
      </w:r>
    </w:p>
    <w:p w14:paraId="21EF1E38"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SME (small and medium-sized enterprise):</w:t>
      </w:r>
      <w:r>
        <w:rPr>
          <w:rFonts w:ascii="Open Sans" w:eastAsia="Open Sans" w:hAnsi="Open Sans" w:cs="Open Sans"/>
          <w:color w:val="000000"/>
        </w:rPr>
        <w:t xml:space="preserve"> An entity that complies with the following European Commission Recommendation 2003/361/EC criteria:</w:t>
      </w:r>
    </w:p>
    <w:p w14:paraId="6D671DD0" w14:textId="77777777" w:rsidR="009E4895" w:rsidRDefault="00000000">
      <w:pPr>
        <w:numPr>
          <w:ilvl w:val="0"/>
          <w:numId w:val="2"/>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Headcount in Annual Work Unit (AWU) of less than 250.</w:t>
      </w:r>
    </w:p>
    <w:p w14:paraId="27EF9BBE" w14:textId="77777777" w:rsidR="009E4895" w:rsidRDefault="00000000">
      <w:pPr>
        <w:numPr>
          <w:ilvl w:val="0"/>
          <w:numId w:val="2"/>
        </w:num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Annual turnover </w:t>
      </w:r>
      <w:proofErr w:type="gramStart"/>
      <w:r>
        <w:rPr>
          <w:rFonts w:ascii="Open Sans" w:eastAsia="Open Sans" w:hAnsi="Open Sans" w:cs="Open Sans"/>
          <w:color w:val="000000"/>
        </w:rPr>
        <w:t>less than or equal</w:t>
      </w:r>
      <w:proofErr w:type="gramEnd"/>
      <w:r>
        <w:rPr>
          <w:rFonts w:ascii="Open Sans" w:eastAsia="Open Sans" w:hAnsi="Open Sans" w:cs="Open Sans"/>
          <w:color w:val="000000"/>
        </w:rPr>
        <w:t xml:space="preserve"> </w:t>
      </w:r>
      <w:proofErr w:type="gramStart"/>
      <w:r>
        <w:rPr>
          <w:rFonts w:ascii="Open Sans" w:eastAsia="Open Sans" w:hAnsi="Open Sans" w:cs="Open Sans"/>
          <w:color w:val="000000"/>
        </w:rPr>
        <w:t>to</w:t>
      </w:r>
      <w:proofErr w:type="gramEnd"/>
      <w:r>
        <w:rPr>
          <w:rFonts w:ascii="Open Sans" w:eastAsia="Open Sans" w:hAnsi="Open Sans" w:cs="Open Sans"/>
          <w:color w:val="000000"/>
        </w:rPr>
        <w:t xml:space="preserve"> EUR 50 million OR annual balance sheet </w:t>
      </w:r>
      <w:proofErr w:type="gramStart"/>
      <w:r>
        <w:rPr>
          <w:rFonts w:ascii="Open Sans" w:eastAsia="Open Sans" w:hAnsi="Open Sans" w:cs="Open Sans"/>
          <w:color w:val="000000"/>
        </w:rPr>
        <w:t>total</w:t>
      </w:r>
      <w:proofErr w:type="gramEnd"/>
      <w:r>
        <w:rPr>
          <w:rFonts w:ascii="Open Sans" w:eastAsia="Open Sans" w:hAnsi="Open Sans" w:cs="Open Sans"/>
          <w:color w:val="000000"/>
        </w:rPr>
        <w:t xml:space="preserve"> less than or equal to EUR 43 million.</w:t>
      </w:r>
    </w:p>
    <w:p w14:paraId="2E368025"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Dominant influence:</w:t>
      </w:r>
      <w:r>
        <w:rPr>
          <w:rFonts w:ascii="Open Sans" w:eastAsia="Open Sans" w:hAnsi="Open Sans" w:cs="Open Sans"/>
          <w:color w:val="000000"/>
        </w:rPr>
        <w:t xml:space="preserve"> An influence that can be exercised over a company to achieve the operating and financial policies desired by the holder of the influence, notwithstanding the rights or influence of any other party. If one </w:t>
      </w:r>
      <w:proofErr w:type="spellStart"/>
      <w:r>
        <w:rPr>
          <w:rFonts w:ascii="Open Sans" w:eastAsia="Open Sans" w:hAnsi="Open Sans" w:cs="Open Sans"/>
          <w:color w:val="000000"/>
        </w:rPr>
        <w:t>organisation</w:t>
      </w:r>
      <w:proofErr w:type="spellEnd"/>
      <w:r>
        <w:rPr>
          <w:rFonts w:ascii="Open Sans" w:eastAsia="Open Sans" w:hAnsi="Open Sans" w:cs="Open Sans"/>
          <w:color w:val="000000"/>
        </w:rPr>
        <w:t xml:space="preserve"> exerts such a dominant influence over a company, this company should be treated as a subsidiary of the </w:t>
      </w:r>
      <w:proofErr w:type="spellStart"/>
      <w:r>
        <w:rPr>
          <w:rFonts w:ascii="Open Sans" w:eastAsia="Open Sans" w:hAnsi="Open Sans" w:cs="Open Sans"/>
          <w:color w:val="000000"/>
        </w:rPr>
        <w:t>organisation</w:t>
      </w:r>
      <w:proofErr w:type="spellEnd"/>
      <w:r>
        <w:rPr>
          <w:rFonts w:ascii="Open Sans" w:eastAsia="Open Sans" w:hAnsi="Open Sans" w:cs="Open Sans"/>
          <w:color w:val="000000"/>
        </w:rPr>
        <w:t xml:space="preserve"> and consolidated into the group accounts of the </w:t>
      </w:r>
      <w:proofErr w:type="spellStart"/>
      <w:r>
        <w:rPr>
          <w:rFonts w:ascii="Open Sans" w:eastAsia="Open Sans" w:hAnsi="Open Sans" w:cs="Open Sans"/>
          <w:color w:val="000000"/>
        </w:rPr>
        <w:t>organisation</w:t>
      </w:r>
      <w:proofErr w:type="spellEnd"/>
      <w:r>
        <w:rPr>
          <w:rFonts w:ascii="Open Sans" w:eastAsia="Open Sans" w:hAnsi="Open Sans" w:cs="Open Sans"/>
          <w:color w:val="000000"/>
        </w:rPr>
        <w:t>, in other words, it should be treated as a linked entity.</w:t>
      </w:r>
    </w:p>
    <w:p w14:paraId="7BDEE726"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Holding:</w:t>
      </w:r>
      <w:r>
        <w:rPr>
          <w:rFonts w:ascii="Open Sans" w:eastAsia="Open Sans" w:hAnsi="Open Sans" w:cs="Open Sans"/>
          <w:color w:val="000000"/>
        </w:rPr>
        <w:t xml:space="preserve"> Share of capital or voting rights, whichever is higher.</w:t>
      </w:r>
    </w:p>
    <w:p w14:paraId="3156A999"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Partner enterprises:</w:t>
      </w:r>
      <w:r>
        <w:rPr>
          <w:rFonts w:ascii="Open Sans" w:eastAsia="Open Sans" w:hAnsi="Open Sans" w:cs="Open Sans"/>
          <w:color w:val="000000"/>
        </w:rPr>
        <w:t xml:space="preserve"> If holdings with other enterprises rise to at least 25% but not more than 50%, the enterprises in question are treated as partner enterprises.</w:t>
      </w:r>
    </w:p>
    <w:p w14:paraId="64B511BF"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Linked enterprises:</w:t>
      </w:r>
      <w:r>
        <w:rPr>
          <w:rFonts w:ascii="Open Sans" w:eastAsia="Open Sans" w:hAnsi="Open Sans" w:cs="Open Sans"/>
          <w:color w:val="000000"/>
        </w:rPr>
        <w:t xml:space="preserve"> If holdings with other enterprises exceed the 50% threshold, these enterprises are considered linked enterprises. </w:t>
      </w:r>
    </w:p>
    <w:p w14:paraId="1176AAF3"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Autonomous enterprise:</w:t>
      </w:r>
      <w:r>
        <w:rPr>
          <w:rFonts w:ascii="Open Sans" w:eastAsia="Open Sans" w:hAnsi="Open Sans" w:cs="Open Sans"/>
          <w:color w:val="000000"/>
        </w:rPr>
        <w:t xml:space="preserve"> If the enterprise is either completely independent or has one or more minority partnerships (each less than 25%) with other enterprises, it is considered an autonomous enterprise. These are also some cases where an enterprise is considered autonomous even if the holding thresholds of 25% and 50% are exceeded – if that percentage is held by the following categories of investors:</w:t>
      </w:r>
    </w:p>
    <w:p w14:paraId="1088E899" w14:textId="77777777" w:rsidR="009E4895" w:rsidRDefault="00000000">
      <w:pPr>
        <w:numPr>
          <w:ilvl w:val="0"/>
          <w:numId w:val="3"/>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 xml:space="preserve">Public investment corporations, venture capital companies, individuals or </w:t>
      </w:r>
      <w:proofErr w:type="gramStart"/>
      <w:r>
        <w:rPr>
          <w:rFonts w:ascii="Open Sans" w:eastAsia="Open Sans" w:hAnsi="Open Sans" w:cs="Open Sans"/>
          <w:color w:val="000000"/>
        </w:rPr>
        <w:t>group</w:t>
      </w:r>
      <w:proofErr w:type="gramEnd"/>
      <w:r>
        <w:rPr>
          <w:rFonts w:ascii="Open Sans" w:eastAsia="Open Sans" w:hAnsi="Open Sans" w:cs="Open Sans"/>
          <w:color w:val="000000"/>
        </w:rPr>
        <w:t xml:space="preserve"> of individuals with a regular venture capital investment activity who invest equity capital in unquoted </w:t>
      </w:r>
      <w:proofErr w:type="gramStart"/>
      <w:r>
        <w:rPr>
          <w:rFonts w:ascii="Open Sans" w:eastAsia="Open Sans" w:hAnsi="Open Sans" w:cs="Open Sans"/>
          <w:color w:val="000000"/>
        </w:rPr>
        <w:t>businesses (’</w:t>
      </w:r>
      <w:proofErr w:type="gramEnd"/>
      <w:r>
        <w:rPr>
          <w:rFonts w:ascii="Open Sans" w:eastAsia="Open Sans" w:hAnsi="Open Sans" w:cs="Open Sans"/>
          <w:color w:val="000000"/>
        </w:rPr>
        <w:t xml:space="preserve">’business </w:t>
      </w:r>
      <w:proofErr w:type="gramStart"/>
      <w:r>
        <w:rPr>
          <w:rFonts w:ascii="Open Sans" w:eastAsia="Open Sans" w:hAnsi="Open Sans" w:cs="Open Sans"/>
          <w:color w:val="000000"/>
        </w:rPr>
        <w:t>angels’’</w:t>
      </w:r>
      <w:proofErr w:type="gramEnd"/>
      <w:r>
        <w:rPr>
          <w:rFonts w:ascii="Open Sans" w:eastAsia="Open Sans" w:hAnsi="Open Sans" w:cs="Open Sans"/>
          <w:color w:val="000000"/>
        </w:rPr>
        <w:t>), provided the total investment of those business angels in the same enterprise is less than EUR 1,250,000,</w:t>
      </w:r>
    </w:p>
    <w:p w14:paraId="6F4FF186" w14:textId="77777777" w:rsidR="009E4895" w:rsidRDefault="00000000">
      <w:pPr>
        <w:numPr>
          <w:ilvl w:val="0"/>
          <w:numId w:val="3"/>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 xml:space="preserve">Universities or non-profit research </w:t>
      </w:r>
      <w:proofErr w:type="spellStart"/>
      <w:r>
        <w:rPr>
          <w:rFonts w:ascii="Open Sans" w:eastAsia="Open Sans" w:hAnsi="Open Sans" w:cs="Open Sans"/>
          <w:color w:val="000000"/>
        </w:rPr>
        <w:t>centres</w:t>
      </w:r>
      <w:proofErr w:type="spellEnd"/>
      <w:r>
        <w:rPr>
          <w:rFonts w:ascii="Open Sans" w:eastAsia="Open Sans" w:hAnsi="Open Sans" w:cs="Open Sans"/>
          <w:color w:val="000000"/>
        </w:rPr>
        <w:t>,</w:t>
      </w:r>
    </w:p>
    <w:p w14:paraId="68F18781" w14:textId="77777777" w:rsidR="009E4895" w:rsidRDefault="00000000">
      <w:pPr>
        <w:numPr>
          <w:ilvl w:val="0"/>
          <w:numId w:val="3"/>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Institutional investors, including regional development funds,</w:t>
      </w:r>
    </w:p>
    <w:p w14:paraId="14E85A60" w14:textId="77777777" w:rsidR="009E4895" w:rsidRDefault="00000000">
      <w:pPr>
        <w:numPr>
          <w:ilvl w:val="0"/>
          <w:numId w:val="3"/>
        </w:num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lastRenderedPageBreak/>
        <w:t>Autonomous local authorities with an annual budget of less than EUR 10 million and less than 5,000 inhabitants</w:t>
      </w:r>
    </w:p>
    <w:p w14:paraId="30DFC7AD"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Consolidation</w:t>
      </w:r>
      <w:r>
        <w:rPr>
          <w:rFonts w:ascii="Open Sans" w:eastAsia="Open Sans" w:hAnsi="Open Sans" w:cs="Open Sans"/>
          <w:color w:val="000000"/>
        </w:rPr>
        <w:t>: To consolidate means to combine assets, liabilities and other financial items of two or more entities into one. In the context of financial accounting, the term consolidate often refers to the consolidation of financial statements wherein all subsidiaries report under the umbrella of a parent company. In case an enterprise draws up consolidated accounts voluntarily, without being required to do so under the Seventh Directive (Council Directive 83/349/EEC), the enterprise is not necessarily linked and can be considered only a partner.</w:t>
      </w:r>
    </w:p>
    <w:p w14:paraId="13FC1789"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Headcount</w:t>
      </w:r>
      <w:r>
        <w:rPr>
          <w:rFonts w:ascii="Open Sans" w:eastAsia="Open Sans" w:hAnsi="Open Sans" w:cs="Open Sans"/>
          <w:color w:val="000000"/>
        </w:rPr>
        <w:t>: The number of people who are employed by a company.</w:t>
      </w:r>
    </w:p>
    <w:p w14:paraId="491F9486"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AWU (Annual Working Unit):</w:t>
      </w:r>
      <w:r>
        <w:rPr>
          <w:rFonts w:ascii="Open Sans" w:eastAsia="Open Sans" w:hAnsi="Open Sans" w:cs="Open Sans"/>
          <w:color w:val="000000"/>
        </w:rPr>
        <w:t xml:space="preserve"> One AWU corresponds to one person who worked full-time in the enterprise in question or on its behalf during the entire reference year. The headcount is expressed in AWUs.</w:t>
      </w:r>
    </w:p>
    <w:p w14:paraId="5B91A388"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VAT (Value Added Tax) Number:</w:t>
      </w:r>
      <w:r>
        <w:rPr>
          <w:rFonts w:ascii="Open Sans" w:eastAsia="Open Sans" w:hAnsi="Open Sans" w:cs="Open Sans"/>
          <w:color w:val="000000"/>
        </w:rPr>
        <w:t xml:space="preserve"> A unique number that identifies a taxable person (business) or non-taxable legal entity that is registered for VAT. Every country </w:t>
      </w:r>
      <w:proofErr w:type="gramStart"/>
      <w:r>
        <w:rPr>
          <w:rFonts w:ascii="Open Sans" w:eastAsia="Open Sans" w:hAnsi="Open Sans" w:cs="Open Sans"/>
          <w:color w:val="000000"/>
        </w:rPr>
        <w:t>issues</w:t>
      </w:r>
      <w:proofErr w:type="gramEnd"/>
      <w:r>
        <w:rPr>
          <w:rFonts w:ascii="Open Sans" w:eastAsia="Open Sans" w:hAnsi="Open Sans" w:cs="Open Sans"/>
          <w:color w:val="000000"/>
        </w:rPr>
        <w:t xml:space="preserve"> its own national VAT number.</w:t>
      </w:r>
    </w:p>
    <w:p w14:paraId="60DCD546" w14:textId="77777777" w:rsidR="00FB29CA" w:rsidRDefault="00000000" w:rsidP="00FB29CA">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Principal director:</w:t>
      </w:r>
      <w:r>
        <w:rPr>
          <w:rFonts w:ascii="Open Sans" w:eastAsia="Open Sans" w:hAnsi="Open Sans" w:cs="Open Sans"/>
          <w:color w:val="000000"/>
        </w:rPr>
        <w:t xml:space="preserve"> Chairman, CEO, Director-General, or equivalent.</w:t>
      </w:r>
    </w:p>
    <w:p w14:paraId="6F3E2E2A" w14:textId="562FA633" w:rsidR="009E4895" w:rsidRPr="00FB29CA" w:rsidRDefault="00000000" w:rsidP="00FB29CA">
      <w:pPr>
        <w:pStyle w:val="Heading1"/>
        <w:numPr>
          <w:ilvl w:val="0"/>
          <w:numId w:val="1"/>
        </w:numPr>
        <w:rPr>
          <w:b/>
          <w:bCs/>
          <w:color w:val="4CA626"/>
        </w:rPr>
      </w:pPr>
      <w:r w:rsidRPr="00FB29CA">
        <w:rPr>
          <w:b/>
          <w:bCs/>
          <w:color w:val="4CA626"/>
        </w:rPr>
        <w:t>Declaration on Legal Entity and SME Status</w:t>
      </w:r>
    </w:p>
    <w:p w14:paraId="3F7DF7B8" w14:textId="77777777" w:rsidR="009E4895"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t>Precise identification of the applicant enterprise</w:t>
      </w:r>
    </w:p>
    <w:p w14:paraId="5E952E6D" w14:textId="77777777" w:rsidR="009E4895" w:rsidRDefault="00000000">
      <w:pPr>
        <w:pBdr>
          <w:top w:val="nil"/>
          <w:left w:val="nil"/>
          <w:bottom w:val="nil"/>
          <w:right w:val="nil"/>
          <w:between w:val="nil"/>
        </w:pBdr>
        <w:spacing w:after="240"/>
        <w:rPr>
          <w:rFonts w:ascii="Open Sans" w:eastAsia="Open Sans" w:hAnsi="Open Sans" w:cs="Open Sans"/>
          <w:color w:val="000000"/>
        </w:rPr>
      </w:pPr>
      <w:r>
        <w:rPr>
          <w:rFonts w:ascii="Open Sans" w:eastAsia="Open Sans" w:hAnsi="Open Sans" w:cs="Open Sans"/>
          <w:color w:val="000000"/>
        </w:rPr>
        <w:t>Name or Business name .......................................................................................................................</w:t>
      </w:r>
    </w:p>
    <w:p w14:paraId="1C22EA9C"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Address (of registered office) .................................................................................................</w:t>
      </w:r>
    </w:p>
    <w:p w14:paraId="028F2271"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Registration / VAT number .....................................................................................................</w:t>
      </w:r>
    </w:p>
    <w:p w14:paraId="4828EC44"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Names and titles of the principal director(s) ...........................................................................</w:t>
      </w:r>
    </w:p>
    <w:p w14:paraId="64FCD4C7"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Type of applicant</w:t>
      </w:r>
      <w:r>
        <w:rPr>
          <w:rFonts w:ascii="Open Sans" w:eastAsia="Open Sans" w:hAnsi="Open Sans" w:cs="Open Sans"/>
          <w:color w:val="000000"/>
        </w:rPr>
        <w:t xml:space="preserve"> (see explanatory note)</w:t>
      </w:r>
    </w:p>
    <w:p w14:paraId="527BD299"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Tick to indicate which case(s) applies to the applicant enterprise:</w:t>
      </w:r>
    </w:p>
    <w:tbl>
      <w:tblPr>
        <w:tblStyle w:val="a"/>
        <w:tblW w:w="8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5238"/>
      </w:tblGrid>
      <w:tr w:rsidR="009E4895" w14:paraId="4558599D" w14:textId="77777777">
        <w:trPr>
          <w:trHeight w:val="738"/>
        </w:trPr>
        <w:tc>
          <w:tcPr>
            <w:tcW w:w="3402" w:type="dxa"/>
            <w:tcBorders>
              <w:top w:val="single" w:sz="4" w:space="0" w:color="000000"/>
              <w:left w:val="single" w:sz="4" w:space="0" w:color="000000"/>
              <w:bottom w:val="single" w:sz="4" w:space="0" w:color="000000"/>
              <w:right w:val="single" w:sz="4" w:space="0" w:color="000000"/>
            </w:tcBorders>
          </w:tcPr>
          <w:p w14:paraId="734B1E88"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sdt>
              <w:sdtPr>
                <w:tag w:val="goog_rdk_0"/>
                <w:id w:val="793515679"/>
              </w:sdtPr>
              <w:sdtContent>
                <w:r>
                  <w:rPr>
                    <w:rFonts w:ascii="Arial Unicode MS" w:eastAsia="Arial Unicode MS" w:hAnsi="Arial Unicode MS" w:cs="Arial Unicode MS"/>
                    <w:color w:val="000000"/>
                  </w:rPr>
                  <w:t>☐ Autonomous enterprise</w:t>
                </w:r>
              </w:sdtContent>
            </w:sdt>
          </w:p>
        </w:tc>
        <w:tc>
          <w:tcPr>
            <w:tcW w:w="5238" w:type="dxa"/>
            <w:tcBorders>
              <w:top w:val="single" w:sz="4" w:space="0" w:color="000000"/>
              <w:left w:val="single" w:sz="4" w:space="0" w:color="000000"/>
              <w:bottom w:val="single" w:sz="4" w:space="0" w:color="000000"/>
              <w:right w:val="single" w:sz="4" w:space="0" w:color="000000"/>
            </w:tcBorders>
          </w:tcPr>
          <w:p w14:paraId="23DF3747"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In this case the data filled in the box below </w:t>
            </w:r>
            <w:proofErr w:type="gramStart"/>
            <w:r>
              <w:rPr>
                <w:rFonts w:ascii="Open Sans" w:eastAsia="Open Sans" w:hAnsi="Open Sans" w:cs="Open Sans"/>
                <w:color w:val="000000"/>
              </w:rPr>
              <w:t>result</w:t>
            </w:r>
            <w:proofErr w:type="gramEnd"/>
            <w:r>
              <w:rPr>
                <w:rFonts w:ascii="Open Sans" w:eastAsia="Open Sans" w:hAnsi="Open Sans" w:cs="Open Sans"/>
                <w:color w:val="000000"/>
              </w:rPr>
              <w:t xml:space="preserve"> from the accounts of the applicant enterprise only. Fill in the declaration only, without appendix.</w:t>
            </w:r>
          </w:p>
        </w:tc>
      </w:tr>
      <w:tr w:rsidR="009E4895" w14:paraId="333BAE58" w14:textId="77777777">
        <w:tc>
          <w:tcPr>
            <w:tcW w:w="3402" w:type="dxa"/>
            <w:tcBorders>
              <w:top w:val="single" w:sz="4" w:space="0" w:color="000000"/>
              <w:left w:val="single" w:sz="4" w:space="0" w:color="000000"/>
              <w:bottom w:val="single" w:sz="4" w:space="0" w:color="000000"/>
              <w:right w:val="single" w:sz="4" w:space="0" w:color="000000"/>
            </w:tcBorders>
          </w:tcPr>
          <w:p w14:paraId="6972A610"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sdt>
              <w:sdtPr>
                <w:tag w:val="goog_rdk_1"/>
                <w:id w:val="254633604"/>
              </w:sdtPr>
              <w:sdtContent>
                <w:r>
                  <w:rPr>
                    <w:rFonts w:ascii="Arial Unicode MS" w:eastAsia="Arial Unicode MS" w:hAnsi="Arial Unicode MS" w:cs="Arial Unicode MS"/>
                    <w:color w:val="000000"/>
                  </w:rPr>
                  <w:t>☐ Partner enterprise</w:t>
                </w:r>
              </w:sdtContent>
            </w:sdt>
          </w:p>
          <w:p w14:paraId="6E599F55"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sdt>
              <w:sdtPr>
                <w:tag w:val="goog_rdk_2"/>
                <w:id w:val="-876287746"/>
              </w:sdtPr>
              <w:sdtContent>
                <w:r>
                  <w:rPr>
                    <w:rFonts w:ascii="Arial Unicode MS" w:eastAsia="Arial Unicode MS" w:hAnsi="Arial Unicode MS" w:cs="Arial Unicode MS"/>
                    <w:color w:val="000000"/>
                  </w:rPr>
                  <w:t>☐</w:t>
                </w:r>
              </w:sdtContent>
            </w:sdt>
            <w:r>
              <w:rPr>
                <w:rFonts w:ascii="Open Sans" w:eastAsia="Open Sans" w:hAnsi="Open Sans" w:cs="Open Sans"/>
                <w:b/>
                <w:bCs/>
                <w:color w:val="000000"/>
              </w:rPr>
              <w:t xml:space="preserve"> </w:t>
            </w:r>
            <w:r>
              <w:rPr>
                <w:rFonts w:ascii="Open Sans" w:eastAsia="Open Sans" w:hAnsi="Open Sans" w:cs="Open Sans"/>
                <w:color w:val="000000"/>
              </w:rPr>
              <w:t>Linked enterprise</w:t>
            </w:r>
          </w:p>
        </w:tc>
        <w:tc>
          <w:tcPr>
            <w:tcW w:w="5238" w:type="dxa"/>
            <w:tcBorders>
              <w:top w:val="single" w:sz="4" w:space="0" w:color="000000"/>
              <w:left w:val="single" w:sz="4" w:space="0" w:color="000000"/>
              <w:bottom w:val="single" w:sz="4" w:space="0" w:color="000000"/>
              <w:right w:val="single" w:sz="4" w:space="0" w:color="000000"/>
            </w:tcBorders>
          </w:tcPr>
          <w:p w14:paraId="7F4272D1"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Fill in and attach the appendix (and any additional sheets), then complete the declaration by copying the results of the calculations into the box below.</w:t>
            </w:r>
          </w:p>
        </w:tc>
      </w:tr>
    </w:tbl>
    <w:p w14:paraId="139C2789" w14:textId="77777777" w:rsidR="009E4895"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lastRenderedPageBreak/>
        <w:t>Data used to determine the category of enterprise</w:t>
      </w: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9E4895" w14:paraId="2BF174D4" w14:textId="77777777">
        <w:trPr>
          <w:trHeight w:val="859"/>
        </w:trPr>
        <w:tc>
          <w:tcPr>
            <w:tcW w:w="8494" w:type="dxa"/>
          </w:tcPr>
          <w:p w14:paraId="68A563C5" w14:textId="77777777" w:rsidR="009E4895" w:rsidRDefault="00000000">
            <w:pPr>
              <w:spacing w:after="240"/>
              <w:jc w:val="both"/>
              <w:rPr>
                <w:rFonts w:ascii="Open Sans" w:eastAsia="Open Sans" w:hAnsi="Open Sans" w:cs="Open Sans"/>
                <w:b/>
                <w:bCs/>
                <w:color w:val="000000"/>
              </w:rPr>
            </w:pPr>
            <w:sdt>
              <w:sdtPr>
                <w:tag w:val="goog_rdk_3"/>
                <w:id w:val="1795179688"/>
              </w:sdtPr>
              <w:sdtContent>
                <w:r>
                  <w:rPr>
                    <w:rFonts w:ascii="Arial Unicode MS" w:eastAsia="Arial Unicode MS" w:hAnsi="Arial Unicode MS" w:cs="Arial Unicode MS"/>
                    <w:color w:val="000000"/>
                  </w:rPr>
                  <w:t xml:space="preserve">☐ </w:t>
                </w:r>
              </w:sdtContent>
            </w:sdt>
            <w:r>
              <w:rPr>
                <w:rFonts w:ascii="Open Sans" w:eastAsia="Open Sans" w:hAnsi="Open Sans" w:cs="Open Sans"/>
                <w:b/>
                <w:bCs/>
                <w:color w:val="000000"/>
              </w:rPr>
              <w:t>The applicant confirms that, based on the information provided above and any applicable partner or linked enterprise calculations, it qualifies as an SME under Commission Recommendation 2003/361/EC.</w:t>
            </w:r>
          </w:p>
        </w:tc>
      </w:tr>
    </w:tbl>
    <w:p w14:paraId="66601C23"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Calculated according to Article 6 of the Annex to the Commission Recommendation 2003/361/EC on the SME definition:</w:t>
      </w:r>
    </w:p>
    <w:tbl>
      <w:tblPr>
        <w:tblStyle w:val="a1"/>
        <w:tblW w:w="8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7"/>
        <w:gridCol w:w="3120"/>
        <w:gridCol w:w="2078"/>
      </w:tblGrid>
      <w:tr w:rsidR="009E4895" w14:paraId="5E35416A" w14:textId="77777777">
        <w:tc>
          <w:tcPr>
            <w:tcW w:w="8455" w:type="dxa"/>
            <w:gridSpan w:val="3"/>
            <w:tcBorders>
              <w:top w:val="single" w:sz="4" w:space="0" w:color="000000"/>
              <w:left w:val="single" w:sz="4" w:space="0" w:color="000000"/>
              <w:bottom w:val="single" w:sz="4" w:space="0" w:color="000000"/>
              <w:right w:val="single" w:sz="4" w:space="0" w:color="000000"/>
            </w:tcBorders>
          </w:tcPr>
          <w:p w14:paraId="10245DF5" w14:textId="77777777" w:rsidR="009E4895"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t>Reference period (*)</w:t>
            </w:r>
          </w:p>
        </w:tc>
      </w:tr>
      <w:tr w:rsidR="009E4895" w14:paraId="77364DBF" w14:textId="77777777">
        <w:tc>
          <w:tcPr>
            <w:tcW w:w="3257" w:type="dxa"/>
            <w:tcBorders>
              <w:top w:val="single" w:sz="4" w:space="0" w:color="000000"/>
              <w:left w:val="single" w:sz="4" w:space="0" w:color="000000"/>
              <w:bottom w:val="single" w:sz="4" w:space="0" w:color="000000"/>
              <w:right w:val="single" w:sz="4" w:space="0" w:color="000000"/>
            </w:tcBorders>
          </w:tcPr>
          <w:p w14:paraId="3C1B6F4D"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Headcount (AWU)</w:t>
            </w:r>
          </w:p>
        </w:tc>
        <w:tc>
          <w:tcPr>
            <w:tcW w:w="3120" w:type="dxa"/>
            <w:tcBorders>
              <w:top w:val="single" w:sz="4" w:space="0" w:color="000000"/>
              <w:left w:val="single" w:sz="4" w:space="0" w:color="000000"/>
              <w:bottom w:val="single" w:sz="4" w:space="0" w:color="000000"/>
              <w:right w:val="single" w:sz="4" w:space="0" w:color="000000"/>
            </w:tcBorders>
          </w:tcPr>
          <w:p w14:paraId="0389B71E"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Annual turnover (**)</w:t>
            </w:r>
          </w:p>
        </w:tc>
        <w:tc>
          <w:tcPr>
            <w:tcW w:w="2078" w:type="dxa"/>
            <w:tcBorders>
              <w:top w:val="single" w:sz="4" w:space="0" w:color="000000"/>
              <w:left w:val="single" w:sz="4" w:space="0" w:color="000000"/>
              <w:bottom w:val="single" w:sz="4" w:space="0" w:color="000000"/>
              <w:right w:val="single" w:sz="4" w:space="0" w:color="000000"/>
            </w:tcBorders>
          </w:tcPr>
          <w:p w14:paraId="55429AB7"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Balance sheet total (**)</w:t>
            </w:r>
          </w:p>
        </w:tc>
      </w:tr>
      <w:tr w:rsidR="009E4895" w14:paraId="0F34C30D" w14:textId="77777777">
        <w:tc>
          <w:tcPr>
            <w:tcW w:w="3257" w:type="dxa"/>
            <w:tcBorders>
              <w:top w:val="single" w:sz="4" w:space="0" w:color="000000"/>
              <w:left w:val="single" w:sz="4" w:space="0" w:color="000000"/>
              <w:bottom w:val="single" w:sz="4" w:space="0" w:color="000000"/>
              <w:right w:val="single" w:sz="4" w:space="0" w:color="000000"/>
            </w:tcBorders>
          </w:tcPr>
          <w:p w14:paraId="79518E78" w14:textId="77777777" w:rsidR="009E4895" w:rsidRDefault="009E4895">
            <w:pPr>
              <w:pBdr>
                <w:top w:val="nil"/>
                <w:left w:val="nil"/>
                <w:bottom w:val="nil"/>
                <w:right w:val="nil"/>
                <w:between w:val="nil"/>
              </w:pBdr>
              <w:spacing w:after="240"/>
              <w:jc w:val="both"/>
              <w:rPr>
                <w:rFonts w:ascii="Open Sans" w:eastAsia="Open Sans" w:hAnsi="Open Sans" w:cs="Open Sans"/>
                <w:color w:val="000000"/>
              </w:rPr>
            </w:pPr>
          </w:p>
        </w:tc>
        <w:tc>
          <w:tcPr>
            <w:tcW w:w="3120" w:type="dxa"/>
            <w:tcBorders>
              <w:top w:val="single" w:sz="4" w:space="0" w:color="000000"/>
              <w:left w:val="single" w:sz="4" w:space="0" w:color="000000"/>
              <w:bottom w:val="single" w:sz="4" w:space="0" w:color="000000"/>
              <w:right w:val="single" w:sz="4" w:space="0" w:color="000000"/>
            </w:tcBorders>
          </w:tcPr>
          <w:p w14:paraId="48D39BFC" w14:textId="77777777" w:rsidR="009E4895" w:rsidRDefault="009E4895">
            <w:pPr>
              <w:pBdr>
                <w:top w:val="nil"/>
                <w:left w:val="nil"/>
                <w:bottom w:val="nil"/>
                <w:right w:val="nil"/>
                <w:between w:val="nil"/>
              </w:pBdr>
              <w:spacing w:after="240"/>
              <w:jc w:val="both"/>
              <w:rPr>
                <w:rFonts w:ascii="Open Sans" w:eastAsia="Open Sans" w:hAnsi="Open Sans" w:cs="Open Sans"/>
                <w:color w:val="000000"/>
              </w:rPr>
            </w:pPr>
          </w:p>
        </w:tc>
        <w:tc>
          <w:tcPr>
            <w:tcW w:w="2078" w:type="dxa"/>
            <w:tcBorders>
              <w:top w:val="single" w:sz="4" w:space="0" w:color="000000"/>
              <w:left w:val="single" w:sz="4" w:space="0" w:color="000000"/>
              <w:bottom w:val="single" w:sz="4" w:space="0" w:color="000000"/>
              <w:right w:val="single" w:sz="4" w:space="0" w:color="000000"/>
            </w:tcBorders>
          </w:tcPr>
          <w:p w14:paraId="7913FF44" w14:textId="77777777" w:rsidR="009E4895" w:rsidRDefault="009E4895">
            <w:pPr>
              <w:pBdr>
                <w:top w:val="nil"/>
                <w:left w:val="nil"/>
                <w:bottom w:val="nil"/>
                <w:right w:val="nil"/>
                <w:between w:val="nil"/>
              </w:pBdr>
              <w:spacing w:after="240"/>
              <w:jc w:val="both"/>
              <w:rPr>
                <w:rFonts w:ascii="Open Sans" w:eastAsia="Open Sans" w:hAnsi="Open Sans" w:cs="Open Sans"/>
                <w:color w:val="000000"/>
              </w:rPr>
            </w:pPr>
          </w:p>
        </w:tc>
      </w:tr>
      <w:tr w:rsidR="009E4895" w14:paraId="6674F570" w14:textId="77777777">
        <w:tc>
          <w:tcPr>
            <w:tcW w:w="8455" w:type="dxa"/>
            <w:gridSpan w:val="3"/>
            <w:tcBorders>
              <w:top w:val="single" w:sz="4" w:space="0" w:color="000000"/>
              <w:left w:val="single" w:sz="4" w:space="0" w:color="000000"/>
              <w:bottom w:val="single" w:sz="4" w:space="0" w:color="000000"/>
              <w:right w:val="single" w:sz="4" w:space="0" w:color="000000"/>
            </w:tcBorders>
          </w:tcPr>
          <w:p w14:paraId="762B7A33"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 All data must be relating to the last approved accounting period and calculated on an annual basis. In the case of newly established enterprises whose accounts have not yet been approved, the data to apply shall be derived from a reliable estimate made </w:t>
            </w:r>
            <w:proofErr w:type="gramStart"/>
            <w:r>
              <w:rPr>
                <w:rFonts w:ascii="Open Sans" w:eastAsia="Open Sans" w:hAnsi="Open Sans" w:cs="Open Sans"/>
                <w:color w:val="000000"/>
              </w:rPr>
              <w:t>in the course of</w:t>
            </w:r>
            <w:proofErr w:type="gramEnd"/>
            <w:r>
              <w:rPr>
                <w:rFonts w:ascii="Open Sans" w:eastAsia="Open Sans" w:hAnsi="Open Sans" w:cs="Open Sans"/>
                <w:color w:val="000000"/>
              </w:rPr>
              <w:t xml:space="preserve"> the financial year. </w:t>
            </w:r>
          </w:p>
          <w:p w14:paraId="7CFBE45E"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EUR 1,000.</w:t>
            </w:r>
          </w:p>
        </w:tc>
      </w:tr>
    </w:tbl>
    <w:p w14:paraId="2FF8BD4E" w14:textId="77777777" w:rsidR="009E4895" w:rsidRDefault="009E4895">
      <w:pPr>
        <w:pBdr>
          <w:top w:val="nil"/>
          <w:left w:val="nil"/>
          <w:bottom w:val="nil"/>
          <w:right w:val="nil"/>
          <w:between w:val="nil"/>
        </w:pBdr>
        <w:spacing w:after="240"/>
        <w:jc w:val="both"/>
        <w:rPr>
          <w:rFonts w:ascii="Open Sans" w:eastAsia="Open Sans" w:hAnsi="Open Sans" w:cs="Open Sans"/>
          <w:color w:val="000000"/>
        </w:rPr>
      </w:pPr>
    </w:p>
    <w:tbl>
      <w:tblPr>
        <w:tblStyle w:val="a2"/>
        <w:tblW w:w="8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3780"/>
      </w:tblGrid>
      <w:tr w:rsidR="009E4895" w14:paraId="0314CEB2" w14:textId="77777777">
        <w:trPr>
          <w:trHeight w:val="1642"/>
        </w:trPr>
        <w:tc>
          <w:tcPr>
            <w:tcW w:w="4675" w:type="dxa"/>
            <w:tcBorders>
              <w:top w:val="single" w:sz="4" w:space="0" w:color="000000"/>
              <w:left w:val="single" w:sz="4" w:space="0" w:color="000000"/>
              <w:bottom w:val="single" w:sz="4" w:space="0" w:color="000000"/>
              <w:right w:val="single" w:sz="4" w:space="0" w:color="000000"/>
            </w:tcBorders>
          </w:tcPr>
          <w:p w14:paraId="74831739" w14:textId="77777777" w:rsidR="009E4895"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t xml:space="preserve">Important: </w:t>
            </w:r>
          </w:p>
          <w:p w14:paraId="641EE742"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Compared to the previous accounting period there is a change regarding the data, which could result in a change of category of the applicant enterprise (micro, small, medium-sized or big enterprise).</w:t>
            </w:r>
          </w:p>
        </w:tc>
        <w:tc>
          <w:tcPr>
            <w:tcW w:w="3780" w:type="dxa"/>
            <w:tcBorders>
              <w:top w:val="single" w:sz="4" w:space="0" w:color="000000"/>
              <w:left w:val="single" w:sz="4" w:space="0" w:color="000000"/>
              <w:bottom w:val="single" w:sz="4" w:space="0" w:color="000000"/>
              <w:right w:val="single" w:sz="4" w:space="0" w:color="000000"/>
            </w:tcBorders>
          </w:tcPr>
          <w:p w14:paraId="109AAB11"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sdt>
              <w:sdtPr>
                <w:tag w:val="goog_rdk_4"/>
                <w:id w:val="-2101200291"/>
              </w:sdtPr>
              <w:sdtContent>
                <w:r>
                  <w:rPr>
                    <w:rFonts w:ascii="Arial Unicode MS" w:eastAsia="Arial Unicode MS" w:hAnsi="Arial Unicode MS" w:cs="Arial Unicode MS"/>
                    <w:color w:val="000000"/>
                  </w:rPr>
                  <w:t>☐ No</w:t>
                </w:r>
              </w:sdtContent>
            </w:sdt>
          </w:p>
          <w:p w14:paraId="18A167B8"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sdt>
              <w:sdtPr>
                <w:tag w:val="goog_rdk_5"/>
                <w:id w:val="-1543292187"/>
              </w:sdtPr>
              <w:sdtContent>
                <w:r>
                  <w:rPr>
                    <w:rFonts w:ascii="Arial Unicode MS" w:eastAsia="Arial Unicode MS" w:hAnsi="Arial Unicode MS" w:cs="Arial Unicode MS"/>
                    <w:color w:val="000000"/>
                  </w:rPr>
                  <w:t>☐ Yes (in this case fill in and attach a declaration regarding the previous accounting period).</w:t>
                </w:r>
              </w:sdtContent>
            </w:sdt>
          </w:p>
        </w:tc>
      </w:tr>
    </w:tbl>
    <w:p w14:paraId="49FD7566" w14:textId="4E0A5927" w:rsidR="009E4895"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t xml:space="preserve">Signature </w:t>
      </w:r>
    </w:p>
    <w:p w14:paraId="1B8DA8B1"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Name and position of the signatory, being </w:t>
      </w:r>
      <w:proofErr w:type="spellStart"/>
      <w:r>
        <w:rPr>
          <w:rFonts w:ascii="Open Sans" w:eastAsia="Open Sans" w:hAnsi="Open Sans" w:cs="Open Sans"/>
          <w:color w:val="000000"/>
        </w:rPr>
        <w:t>authorised</w:t>
      </w:r>
      <w:proofErr w:type="spellEnd"/>
      <w:r>
        <w:rPr>
          <w:rFonts w:ascii="Open Sans" w:eastAsia="Open Sans" w:hAnsi="Open Sans" w:cs="Open Sans"/>
          <w:color w:val="000000"/>
        </w:rPr>
        <w:t xml:space="preserve"> to represent the enterprise: </w:t>
      </w:r>
    </w:p>
    <w:p w14:paraId="248D5197"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w:t>
      </w:r>
    </w:p>
    <w:p w14:paraId="5C7FC5AD"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I declare in my </w:t>
      </w:r>
      <w:proofErr w:type="spellStart"/>
      <w:r>
        <w:rPr>
          <w:rFonts w:ascii="Open Sans" w:eastAsia="Open Sans" w:hAnsi="Open Sans" w:cs="Open Sans"/>
          <w:color w:val="000000"/>
        </w:rPr>
        <w:t>honour</w:t>
      </w:r>
      <w:proofErr w:type="spellEnd"/>
      <w:r>
        <w:rPr>
          <w:rFonts w:ascii="Open Sans" w:eastAsia="Open Sans" w:hAnsi="Open Sans" w:cs="Open Sans"/>
          <w:color w:val="000000"/>
        </w:rPr>
        <w:t xml:space="preserve"> the accuracy of this declaration and of any appendices thereto.</w:t>
      </w:r>
    </w:p>
    <w:p w14:paraId="2CCF640D"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Done at </w:t>
      </w:r>
    </w:p>
    <w:p w14:paraId="2B3E1746"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w:t>
      </w:r>
    </w:p>
    <w:p w14:paraId="080F9606"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Signature</w:t>
      </w:r>
    </w:p>
    <w:p w14:paraId="58FB237E" w14:textId="77777777" w:rsidR="009E4895"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w:t>
      </w:r>
    </w:p>
    <w:p w14:paraId="358D8545" w14:textId="77777777" w:rsidR="009E4895" w:rsidRDefault="009E4895">
      <w:pPr>
        <w:pBdr>
          <w:top w:val="nil"/>
          <w:left w:val="nil"/>
          <w:bottom w:val="nil"/>
          <w:right w:val="nil"/>
          <w:between w:val="nil"/>
        </w:pBdr>
        <w:spacing w:after="240"/>
        <w:jc w:val="both"/>
        <w:rPr>
          <w:rFonts w:ascii="Open Sans" w:eastAsia="Open Sans" w:hAnsi="Open Sans" w:cs="Open Sans"/>
          <w:color w:val="000000"/>
        </w:rPr>
      </w:pPr>
    </w:p>
    <w:sectPr w:rsidR="009E4895" w:rsidSect="00FB29CA">
      <w:headerReference w:type="default" r:id="rId11"/>
      <w:footerReference w:type="default" r:id="rId12"/>
      <w:headerReference w:type="first" r:id="rId13"/>
      <w:pgSz w:w="11906" w:h="16838"/>
      <w:pgMar w:top="1417" w:right="1558" w:bottom="1417" w:left="1701" w:header="737"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055B" w14:textId="77777777" w:rsidR="00B67151" w:rsidRDefault="00B67151">
      <w:pPr>
        <w:spacing w:after="0"/>
      </w:pPr>
      <w:r>
        <w:separator/>
      </w:r>
    </w:p>
  </w:endnote>
  <w:endnote w:type="continuationSeparator" w:id="0">
    <w:p w14:paraId="1268EB27" w14:textId="77777777" w:rsidR="00B67151" w:rsidRDefault="00B67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54783C7-C4D0-44AA-AE05-9B600796660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0AF344F-0220-45AF-A7E6-53A3E728015B}"/>
    <w:embedBold r:id="rId3" w:fontKey="{CE5FE4A8-879C-4371-A0B4-5BA612D8C63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D745537-214C-4309-A017-BD4AE80F5219}"/>
  </w:font>
  <w:font w:name="Open Sans">
    <w:charset w:val="00"/>
    <w:family w:val="swiss"/>
    <w:pitch w:val="variable"/>
    <w:sig w:usb0="E00002EF" w:usb1="4000205B" w:usb2="00000028" w:usb3="00000000" w:csb0="0000019F" w:csb1="00000000"/>
    <w:embedRegular r:id="rId5" w:fontKey="{D233A21D-CE43-4ABC-8F7C-77325932F530}"/>
    <w:embedBold r:id="rId6" w:fontKey="{84EE850C-2F9D-4413-BCEA-041AFBDF7622}"/>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7249A3D3-DC26-43F9-B906-D602648218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E7C4" w14:textId="77777777" w:rsidR="009E4895"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FB29CA">
      <w:rPr>
        <w:noProof/>
        <w:color w:val="000000"/>
      </w:rPr>
      <w:t>2</w:t>
    </w:r>
    <w:r>
      <w:rPr>
        <w:color w:val="000000"/>
      </w:rPr>
      <w:fldChar w:fldCharType="end"/>
    </w:r>
  </w:p>
  <w:p w14:paraId="3820082B" w14:textId="77777777" w:rsidR="009E4895"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Project: 101228350 — LIGAWINE — I3-2024-INV1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5ED9D" w14:textId="77777777" w:rsidR="00B67151" w:rsidRDefault="00B67151">
      <w:pPr>
        <w:spacing w:after="0"/>
      </w:pPr>
      <w:r>
        <w:separator/>
      </w:r>
    </w:p>
  </w:footnote>
  <w:footnote w:type="continuationSeparator" w:id="0">
    <w:p w14:paraId="6F90DBDA" w14:textId="77777777" w:rsidR="00B67151" w:rsidRDefault="00B671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219E" w14:textId="5156F808" w:rsidR="009E4895" w:rsidRDefault="00000000" w:rsidP="00FB29CA">
    <w:pPr>
      <w:pBdr>
        <w:top w:val="nil"/>
        <w:left w:val="nil"/>
        <w:bottom w:val="nil"/>
        <w:right w:val="nil"/>
        <w:between w:val="nil"/>
      </w:pBdr>
      <w:tabs>
        <w:tab w:val="center" w:pos="4252"/>
        <w:tab w:val="right" w:pos="8504"/>
      </w:tabs>
      <w:spacing w:after="0"/>
      <w:jc w:val="right"/>
      <w:rPr>
        <w:rFonts w:ascii="Open Sans" w:eastAsia="Open Sans" w:hAnsi="Open Sans" w:cs="Open Sans"/>
        <w:color w:val="000000"/>
      </w:rPr>
    </w:pPr>
    <w:r>
      <w:rPr>
        <w:rFonts w:ascii="Open Sans" w:eastAsia="Open Sans" w:hAnsi="Open Sans" w:cs="Open Sans"/>
      </w:rPr>
      <w:t xml:space="preserve"> </w:t>
    </w:r>
    <w:r w:rsidR="00FB29CA">
      <w:rPr>
        <w:rFonts w:ascii="Open Sans" w:eastAsia="Open Sans" w:hAnsi="Open Sans" w:cs="Open Sans"/>
        <w:color w:val="000000"/>
      </w:rPr>
      <w:t xml:space="preserve">Annex 8: </w:t>
    </w:r>
    <w:r>
      <w:rPr>
        <w:rFonts w:ascii="Open Sans" w:eastAsia="Open Sans" w:hAnsi="Open Sans" w:cs="Open Sans"/>
        <w:color w:val="000000"/>
      </w:rPr>
      <w:t>SME Declaration</w:t>
    </w:r>
    <w:r>
      <w:rPr>
        <w:noProof/>
      </w:rPr>
      <w:drawing>
        <wp:anchor distT="0" distB="0" distL="114300" distR="114300" simplePos="0" relativeHeight="251658240" behindDoc="0" locked="0" layoutInCell="1" hidden="0" allowOverlap="1" wp14:anchorId="03762E12" wp14:editId="67D223BB">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1066808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192E" w14:textId="77777777" w:rsidR="009E4895" w:rsidRDefault="00000000">
    <w:pPr>
      <w:pBdr>
        <w:top w:val="nil"/>
        <w:left w:val="nil"/>
        <w:bottom w:val="nil"/>
        <w:right w:val="nil"/>
        <w:between w:val="nil"/>
      </w:pBdr>
      <w:tabs>
        <w:tab w:val="center" w:pos="4252"/>
        <w:tab w:val="right" w:pos="8504"/>
      </w:tabs>
      <w:spacing w:after="0"/>
      <w:rPr>
        <w:color w:val="000000"/>
      </w:rPr>
    </w:pPr>
    <w:r>
      <w:rPr>
        <w:color w:val="000000"/>
      </w:rPr>
      <w:t>LIGAWINE –</w:t>
    </w:r>
    <w:r>
      <w:t xml:space="preserve"> </w:t>
    </w:r>
    <w:r>
      <w:rPr>
        <w:color w:val="000000"/>
      </w:rPr>
      <w:t>SME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52B9"/>
    <w:multiLevelType w:val="multilevel"/>
    <w:tmpl w:val="94ECCF8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7518D8"/>
    <w:multiLevelType w:val="multilevel"/>
    <w:tmpl w:val="71FC2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9B59E1"/>
    <w:multiLevelType w:val="multilevel"/>
    <w:tmpl w:val="AD506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25493A"/>
    <w:multiLevelType w:val="multilevel"/>
    <w:tmpl w:val="E20EF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1462216">
    <w:abstractNumId w:val="1"/>
  </w:num>
  <w:num w:numId="2" w16cid:durableId="1206330069">
    <w:abstractNumId w:val="2"/>
  </w:num>
  <w:num w:numId="3" w16cid:durableId="1135181620">
    <w:abstractNumId w:val="0"/>
  </w:num>
  <w:num w:numId="4" w16cid:durableId="1838886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95"/>
    <w:rsid w:val="002F4F9D"/>
    <w:rsid w:val="00883AF0"/>
    <w:rsid w:val="009E4895"/>
    <w:rsid w:val="00B67151"/>
    <w:rsid w:val="00DF2309"/>
    <w:rsid w:val="00FA60E4"/>
    <w:rsid w:val="00FB29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1AC1"/>
  <w15:docId w15:val="{C2D565A6-3259-4473-A652-64423AE7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FB29CA"/>
    <w:pPr>
      <w:tabs>
        <w:tab w:val="center" w:pos="4513"/>
        <w:tab w:val="right" w:pos="9026"/>
      </w:tabs>
      <w:spacing w:after="0"/>
    </w:pPr>
  </w:style>
  <w:style w:type="character" w:customStyle="1" w:styleId="HeaderChar">
    <w:name w:val="Header Char"/>
    <w:basedOn w:val="DefaultParagraphFont"/>
    <w:link w:val="Header"/>
    <w:uiPriority w:val="99"/>
    <w:rsid w:val="00FB29CA"/>
  </w:style>
  <w:style w:type="paragraph" w:styleId="Footer">
    <w:name w:val="footer"/>
    <w:basedOn w:val="Normal"/>
    <w:link w:val="FooterChar"/>
    <w:uiPriority w:val="99"/>
    <w:unhideWhenUsed/>
    <w:rsid w:val="00FB29CA"/>
    <w:pPr>
      <w:tabs>
        <w:tab w:val="center" w:pos="4513"/>
        <w:tab w:val="right" w:pos="9026"/>
      </w:tabs>
      <w:spacing w:after="0"/>
    </w:pPr>
  </w:style>
  <w:style w:type="character" w:customStyle="1" w:styleId="FooterChar">
    <w:name w:val="Footer Char"/>
    <w:basedOn w:val="DefaultParagraphFont"/>
    <w:link w:val="Footer"/>
    <w:uiPriority w:val="99"/>
    <w:rsid w:val="00FB29CA"/>
  </w:style>
  <w:style w:type="paragraph" w:styleId="ListParagraph">
    <w:name w:val="List Paragraph"/>
    <w:basedOn w:val="Normal"/>
    <w:uiPriority w:val="34"/>
    <w:qFormat/>
    <w:rsid w:val="00FB29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KMdNGx1uFH9YynDW9oVyAotqAA==">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4AHIhMTRHTmZTbW5fNWRMcXV5dmdCbUdHTF9ENkRkVkx6UFR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1042</Words>
  <Characters>5631</Characters>
  <Application>Microsoft Office Word</Application>
  <DocSecurity>0</DocSecurity>
  <Lines>46</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3</cp:revision>
  <dcterms:created xsi:type="dcterms:W3CDTF">2026-05-19T13:23:00Z</dcterms:created>
  <dcterms:modified xsi:type="dcterms:W3CDTF">2026-06-02T10:08:00Z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